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C47F5" w14:textId="4711DAAF" w:rsidR="00AA3FAE" w:rsidRPr="0035034A" w:rsidRDefault="00AA3FAE" w:rsidP="00AA3FAE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E99FEAE" wp14:editId="5EDFFAB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589F0B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#11</w:t>
      </w:r>
      <w:r w:rsidR="00D06F0F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8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="00B26539"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22</w:t>
      </w:r>
      <w:r w:rsidR="0029202E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6437</w:t>
      </w:r>
    </w:p>
    <w:p w14:paraId="4BF14776" w14:textId="64198EC1" w:rsidR="00AA3FAE" w:rsidRPr="00AA3FAE" w:rsidRDefault="003C333E" w:rsidP="00AA3FAE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1</w:t>
      </w:r>
      <w:r w:rsidR="00FD222B">
        <w:rPr>
          <w:rFonts w:ascii="Arial" w:eastAsia="宋体" w:hAnsi="Arial" w:cs="黑体"/>
          <w:b/>
          <w:bCs/>
          <w:noProof/>
          <w:kern w:val="0"/>
          <w:sz w:val="24"/>
        </w:rPr>
        <w:t>0</w:t>
      </w:r>
      <w:r w:rsidR="00571FC2">
        <w:rPr>
          <w:rFonts w:ascii="Arial" w:eastAsia="宋体" w:hAnsi="Arial" w:cs="黑体" w:hint="eastAsia"/>
          <w:b/>
          <w:bCs/>
          <w:noProof/>
          <w:kern w:val="0"/>
          <w:sz w:val="24"/>
          <w:vertAlign w:val="superscript"/>
        </w:rPr>
        <w:t>t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 w:rsidR="00384956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 w:rsidR="00FD222B">
        <w:rPr>
          <w:rFonts w:ascii="Arial" w:eastAsia="宋体" w:hAnsi="Arial" w:cs="黑体"/>
          <w:b/>
          <w:bCs/>
          <w:noProof/>
          <w:kern w:val="0"/>
          <w:sz w:val="24"/>
        </w:rPr>
        <w:t>18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D06F0F">
        <w:rPr>
          <w:rFonts w:ascii="Arial" w:eastAsia="宋体" w:hAnsi="Arial" w:cs="黑体"/>
          <w:b/>
          <w:bCs/>
          <w:noProof/>
          <w:kern w:val="0"/>
          <w:sz w:val="24"/>
        </w:rPr>
        <w:t>Nov,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202</w:t>
      </w:r>
      <w:r w:rsidR="0035034A">
        <w:rPr>
          <w:rFonts w:ascii="Arial" w:eastAsia="宋体" w:hAnsi="Arial" w:cs="黑体"/>
          <w:b/>
          <w:bCs/>
          <w:noProof/>
          <w:kern w:val="0"/>
          <w:sz w:val="24"/>
        </w:rPr>
        <w:t>2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42640C08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</w:t>
      </w:r>
      <w:r w:rsidR="00252938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3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120AD986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bookmarkStart w:id="0" w:name="OLE_LINK7"/>
      <w:r w:rsidR="00770C1B" w:rsidRPr="00770C1B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Mobility enhancements for mobile IAB-node and its served UE</w:t>
      </w:r>
    </w:p>
    <w:bookmarkEnd w:id="0"/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1" w:name="_Ref174151459"/>
      <w:bookmarkStart w:id="2" w:name="_Ref189809556"/>
    </w:p>
    <w:p w14:paraId="229606AE" w14:textId="77777777" w:rsidR="002F0CB9" w:rsidRDefault="002F0CB9" w:rsidP="002F0CB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 new WID for mobile IAB-node [1] has been approved to be discussed in Rel-</w:t>
      </w:r>
      <w:proofErr w:type="gramStart"/>
      <w:r>
        <w:rPr>
          <w:rFonts w:ascii="Times New Roman" w:eastAsia="宋体" w:hAnsi="Times New Roman" w:cs="Times New Roman"/>
          <w:kern w:val="0"/>
          <w:sz w:val="20"/>
          <w:szCs w:val="20"/>
        </w:rPr>
        <w:t>18, and</w:t>
      </w:r>
      <w:proofErr w:type="gram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following detail objectives are identified mainly focus on RAN3 and RAN2.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2F0CB9" w14:paraId="1B03B2D6" w14:textId="77777777" w:rsidTr="00F32368">
        <w:trPr>
          <w:trHeight w:val="1747"/>
        </w:trPr>
        <w:tc>
          <w:tcPr>
            <w:tcW w:w="9704" w:type="dxa"/>
          </w:tcPr>
          <w:p w14:paraId="71F28782" w14:textId="77777777" w:rsidR="00236927" w:rsidRDefault="00236927" w:rsidP="00236927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Define Procedures for migration/topology adaptation to enable IAB-node mobility, including inter-donor migration of the entire mobile IAB-node (full migration) [RAN3, RAN2]</w:t>
            </w:r>
          </w:p>
          <w:p w14:paraId="004578F2" w14:textId="77777777" w:rsidR="00236927" w:rsidRPr="00D06F6A" w:rsidRDefault="00236927" w:rsidP="00236927">
            <w:pPr>
              <w:pStyle w:val="maintext"/>
              <w:numPr>
                <w:ilvl w:val="1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D06F6A">
              <w:rPr>
                <w:rFonts w:eastAsia="Times New Roman" w:cs="Times New Roman"/>
                <w:sz w:val="18"/>
                <w:szCs w:val="18"/>
                <w:lang w:eastAsia="en-US"/>
              </w:rPr>
              <w:t>The mobile IAB-node can connect to a stationary (intermediate) IAB-node. Optimizations specific to the scenarios, where the mobile IAB-node connects to a stationary (intermediate) IAB-node, or where it directly connects to an IAB-donor-DU are de-prioritized.</w:t>
            </w:r>
          </w:p>
          <w:p w14:paraId="043D92FE" w14:textId="77777777" w:rsidR="00236927" w:rsidRPr="00D06F6A" w:rsidRDefault="00236927" w:rsidP="00236927">
            <w:pPr>
              <w:pStyle w:val="maintext"/>
              <w:numPr>
                <w:ilvl w:val="1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D06F6A">
              <w:rPr>
                <w:rFonts w:eastAsia="Times New Roman" w:cs="Times New Roman"/>
                <w:sz w:val="18"/>
                <w:szCs w:val="18"/>
                <w:lang w:eastAsia="en-US"/>
              </w:rPr>
              <w:t>The mobility of dual-connected IAB-nodes is down-prioritized.</w:t>
            </w:r>
          </w:p>
          <w:p w14:paraId="493CBACB" w14:textId="77777777" w:rsidR="00236927" w:rsidRPr="00314064" w:rsidRDefault="00236927" w:rsidP="00236927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Enhancements for mobility of an IAB-node together with </w:t>
            </w:r>
            <w:proofErr w:type="gramStart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its</w:t>
            </w:r>
            <w:proofErr w:type="gramEnd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 served UEs, including aspects related to group mobility. No optimizations for the targeting of surrounding UEs. [RAN3, RAN2]</w:t>
            </w:r>
          </w:p>
          <w:p w14:paraId="39D6DF84" w14:textId="77777777" w:rsidR="00236927" w:rsidRPr="00314064" w:rsidRDefault="00236927" w:rsidP="00236927">
            <w:pPr>
              <w:pStyle w:val="maintext"/>
              <w:spacing w:line="240" w:lineRule="auto"/>
              <w:ind w:left="720" w:firstLineChars="0" w:firstLine="0"/>
              <w:rPr>
                <w:rFonts w:eastAsia="Times New Roman" w:cs="Times New Roman"/>
                <w:i/>
                <w:iCs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i/>
                <w:iCs/>
                <w:sz w:val="18"/>
                <w:szCs w:val="18"/>
                <w:lang w:eastAsia="en-US"/>
              </w:rPr>
              <w:t>Note: Solutions should avoid touching upon topics where Rel-17 discussions already occurred and where the topic was excluded from Rel-17, except for enhancements that are specific to IAB-node mobility.</w:t>
            </w:r>
          </w:p>
          <w:p w14:paraId="1C058673" w14:textId="03498F84" w:rsidR="002F0CB9" w:rsidRPr="001139CF" w:rsidRDefault="00236927" w:rsidP="00236927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ascii="Calibri" w:eastAsia="Times New Roman" w:hAnsi="Calibri" w:cs="Times New Roman"/>
                <w:sz w:val="22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Mitigation of interference due to IAB-node mobility, including the avoidance of potential reference and control signal collisions (</w:t>
            </w:r>
            <w:proofErr w:type="gramStart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e.g.</w:t>
            </w:r>
            <w:proofErr w:type="gramEnd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 PCI, RACH). [RAN3, RAN2]</w:t>
            </w:r>
          </w:p>
        </w:tc>
      </w:tr>
    </w:tbl>
    <w:p w14:paraId="6D4B8E3A" w14:textId="70778FEC" w:rsidR="006E5566" w:rsidRDefault="002F0CB9" w:rsidP="002F0CB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6E5566">
        <w:rPr>
          <w:rFonts w:ascii="Times New Roman" w:eastAsia="宋体" w:hAnsi="Times New Roman" w:cs="Times New Roman"/>
          <w:kern w:val="0"/>
          <w:sz w:val="20"/>
          <w:szCs w:val="20"/>
        </w:rPr>
        <w:t xml:space="preserve">enhancement for mobile IAB-node mobility is discussed, including </w:t>
      </w:r>
      <w:r w:rsidR="006E5566" w:rsidRPr="006E5566">
        <w:rPr>
          <w:rFonts w:ascii="Times New Roman" w:eastAsia="宋体" w:hAnsi="Times New Roman" w:cs="Times New Roman"/>
          <w:kern w:val="0"/>
          <w:sz w:val="20"/>
          <w:szCs w:val="20"/>
        </w:rPr>
        <w:t>aspects related to</w:t>
      </w:r>
      <w:r w:rsidR="0007335E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information sharing between two logical IAB-DUs</w:t>
      </w:r>
      <w:r w:rsidR="0004389E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</w:t>
      </w:r>
      <w:r w:rsidR="0007335E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pre-configuration for IAB-DU migration</w:t>
      </w:r>
      <w:r w:rsidR="006E5566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4DB65650" w14:textId="7F8E545E" w:rsidR="00FF6205" w:rsidRPr="0079429A" w:rsidRDefault="00962DC7" w:rsidP="00FF6205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bookmarkStart w:id="3" w:name="OLE_LINK8"/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I</w:t>
      </w:r>
      <w:r w:rsidRPr="00962DC7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nformation sharing between logical IAB-DUs</w:t>
      </w:r>
    </w:p>
    <w:tbl>
      <w:tblPr>
        <w:tblW w:w="9663" w:type="dxa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63"/>
      </w:tblGrid>
      <w:tr w:rsidR="009F1F4A" w14:paraId="0655A74E" w14:textId="77777777" w:rsidTr="001C41B0">
        <w:trPr>
          <w:trHeight w:val="1477"/>
        </w:trPr>
        <w:tc>
          <w:tcPr>
            <w:tcW w:w="9663" w:type="dxa"/>
          </w:tcPr>
          <w:p w14:paraId="58CF5601" w14:textId="6A54190A" w:rsidR="00404D86" w:rsidRDefault="00404D86" w:rsidP="009F1F4A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AN3 117-e [2]:</w:t>
            </w:r>
          </w:p>
          <w:p w14:paraId="375175D1" w14:textId="3FC7B1A3" w:rsidR="00404D86" w:rsidRDefault="00404D86" w:rsidP="009D761B">
            <w:pPr>
              <w:rPr>
                <w:rFonts w:ascii="Calibri" w:hAnsi="Calibri" w:cs="Calibri"/>
                <w:b/>
                <w:bCs/>
                <w:color w:val="0000FF"/>
                <w:sz w:val="18"/>
                <w:szCs w:val="18"/>
                <w:lang w:eastAsia="en-US"/>
              </w:rPr>
            </w:pPr>
            <w:r w:rsidRPr="0034409C">
              <w:rPr>
                <w:rFonts w:ascii="Calibri" w:hAnsi="Calibri" w:cs="Calibri"/>
                <w:b/>
                <w:bCs/>
                <w:color w:val="0000FF"/>
                <w:sz w:val="18"/>
                <w:szCs w:val="18"/>
                <w:lang w:eastAsia="en-US"/>
              </w:rPr>
              <w:t xml:space="preserve">For mobile DU migration, RAN3 to discuss the benefit and whether to support the sharing info of configuration and/ or UE context between two logical DUs in the mobile IAB-node. </w:t>
            </w:r>
          </w:p>
          <w:p w14:paraId="6AF6A3A3" w14:textId="77777777" w:rsidR="001C41B0" w:rsidRPr="00404D86" w:rsidRDefault="001C41B0" w:rsidP="009D761B">
            <w:pPr>
              <w:rPr>
                <w:rFonts w:ascii="Calibri" w:hAnsi="Calibri" w:cs="Calibri"/>
                <w:b/>
                <w:bCs/>
                <w:color w:val="0000FF"/>
                <w:sz w:val="18"/>
                <w:szCs w:val="18"/>
                <w:lang w:eastAsia="en-US"/>
              </w:rPr>
            </w:pPr>
          </w:p>
          <w:p w14:paraId="2F476B18" w14:textId="06E9F7AD" w:rsidR="004877E1" w:rsidRPr="004877E1" w:rsidRDefault="004877E1" w:rsidP="009F1F4A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77E1"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 w:rsidRPr="004877E1">
              <w:rPr>
                <w:rFonts w:ascii="Times New Roman" w:hAnsi="Times New Roman" w:cs="Times New Roman"/>
                <w:sz w:val="20"/>
                <w:szCs w:val="20"/>
              </w:rPr>
              <w:t>AN3 117bis-e</w:t>
            </w:r>
            <w:r w:rsidR="005516DB">
              <w:rPr>
                <w:rFonts w:ascii="Times New Roman" w:hAnsi="Times New Roman" w:cs="Times New Roman"/>
                <w:sz w:val="20"/>
                <w:szCs w:val="20"/>
              </w:rPr>
              <w:t xml:space="preserve"> [3]</w:t>
            </w:r>
            <w:r w:rsidRPr="004877E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7F753C7" w14:textId="64F53D8E" w:rsidR="009F1F4A" w:rsidRPr="009F1F4A" w:rsidRDefault="009F1F4A" w:rsidP="009F1F4A">
            <w:pPr>
              <w:pStyle w:val="af3"/>
              <w:spacing w:before="0" w:beforeAutospacing="0" w:after="0" w:afterAutospacing="0"/>
              <w:rPr>
                <w:rFonts w:ascii="Calibri" w:hAnsi="Calibri" w:cs="Calibri"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RAN3 to discuss whether and which information can be shared between two logical DUs in case of IAB-DU migration.</w:t>
            </w:r>
          </w:p>
        </w:tc>
      </w:tr>
    </w:tbl>
    <w:p w14:paraId="0F830C82" w14:textId="0BDE5CE0" w:rsidR="003B6157" w:rsidRDefault="003B6157" w:rsidP="009F1F4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 case of inter-donor mobile IAB-DU migration, the mobile IAB-node will support two logical IAB-DUs which have their F1 connections to source and target IAB-donor-CU, respectively. And the served connected UEs perform handover from the cell of the source logical IAB-DU</w:t>
      </w:r>
      <w:r w:rsidR="00D62523">
        <w:rPr>
          <w:rFonts w:ascii="Times New Roman" w:eastAsia="宋体" w:hAnsi="Times New Roman" w:cs="Times New Roman"/>
          <w:kern w:val="0"/>
          <w:sz w:val="20"/>
          <w:szCs w:val="20"/>
        </w:rPr>
        <w:t>1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the cell of the target logical IAB-DU</w:t>
      </w:r>
      <w:r w:rsidR="00D62523">
        <w:rPr>
          <w:rFonts w:ascii="Times New Roman" w:eastAsia="宋体" w:hAnsi="Times New Roman" w:cs="Times New Roman"/>
          <w:kern w:val="0"/>
          <w:sz w:val="20"/>
          <w:szCs w:val="20"/>
        </w:rPr>
        <w:t>2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</w:p>
    <w:p w14:paraId="4AF0671F" w14:textId="2010CFC6" w:rsidR="00E11B68" w:rsidRDefault="00D62523" w:rsidP="00B173B2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As</w:t>
      </w:r>
      <w:r w:rsidR="003B6157" w:rsidRPr="00AA3CB7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the </w:t>
      </w:r>
      <w:r w:rsidR="003B6157">
        <w:rPr>
          <w:rFonts w:ascii="Times New Roman" w:eastAsia="宋体" w:hAnsi="Times New Roman" w:cs="Times New Roman"/>
          <w:kern w:val="0"/>
          <w:sz w:val="20"/>
          <w:szCs w:val="20"/>
        </w:rPr>
        <w:t xml:space="preserve">served </w:t>
      </w:r>
      <w:r w:rsidR="003B6157" w:rsidRPr="00AA3CB7">
        <w:rPr>
          <w:rFonts w:ascii="Times New Roman" w:eastAsia="宋体" w:hAnsi="Times New Roman" w:cs="Times New Roman"/>
          <w:kern w:val="0"/>
          <w:sz w:val="20"/>
          <w:szCs w:val="20"/>
        </w:rPr>
        <w:t>UEs of mobile IAB-node, since</w:t>
      </w:r>
      <w:r w:rsidR="003B61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source logical </w:t>
      </w:r>
      <w:r w:rsidR="003B6157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IAB-DU1 and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target logical </w:t>
      </w:r>
      <w:r w:rsidR="003B6157">
        <w:rPr>
          <w:rFonts w:ascii="Times New Roman" w:eastAsia="宋体" w:hAnsi="Times New Roman" w:cs="Times New Roman"/>
          <w:kern w:val="0"/>
          <w:sz w:val="20"/>
          <w:szCs w:val="20"/>
        </w:rPr>
        <w:t>IAB-DU2 are co-located physically and</w:t>
      </w:r>
      <w:r w:rsidR="003B6157" w:rsidRPr="00AA3CB7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serving </w:t>
      </w:r>
      <w:r w:rsidR="003B6157">
        <w:rPr>
          <w:rFonts w:ascii="Times New Roman" w:eastAsia="宋体" w:hAnsi="Times New Roman" w:cs="Times New Roman"/>
          <w:kern w:val="0"/>
          <w:sz w:val="20"/>
          <w:szCs w:val="20"/>
        </w:rPr>
        <w:t xml:space="preserve">mobile </w:t>
      </w:r>
      <w:r w:rsidR="003B6157" w:rsidRPr="00AA3CB7">
        <w:rPr>
          <w:rFonts w:ascii="Times New Roman" w:eastAsia="宋体" w:hAnsi="Times New Roman" w:cs="Times New Roman"/>
          <w:kern w:val="0"/>
          <w:sz w:val="20"/>
          <w:szCs w:val="20"/>
        </w:rPr>
        <w:t>IAB-node doesn’t change</w:t>
      </w:r>
      <w:r w:rsidR="003B61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UE</w:t>
      </w:r>
      <w:r w:rsidR="003B6157" w:rsidRPr="00AA3CB7">
        <w:rPr>
          <w:rFonts w:ascii="Times New Roman" w:eastAsia="宋体" w:hAnsi="Times New Roman" w:cs="Times New Roman"/>
          <w:kern w:val="0"/>
          <w:sz w:val="20"/>
          <w:szCs w:val="20"/>
        </w:rPr>
        <w:t xml:space="preserve"> during the whole </w:t>
      </w:r>
      <w:r w:rsidR="003B6157">
        <w:rPr>
          <w:rFonts w:ascii="Times New Roman" w:eastAsia="宋体" w:hAnsi="Times New Roman" w:cs="Times New Roman"/>
          <w:kern w:val="0"/>
          <w:sz w:val="20"/>
          <w:szCs w:val="20"/>
        </w:rPr>
        <w:t xml:space="preserve">full </w:t>
      </w:r>
      <w:r w:rsidR="003B6157" w:rsidRPr="00AA3CB7">
        <w:rPr>
          <w:rFonts w:ascii="Times New Roman" w:eastAsia="宋体" w:hAnsi="Times New Roman" w:cs="Times New Roman"/>
          <w:kern w:val="0"/>
          <w:sz w:val="20"/>
          <w:szCs w:val="20"/>
        </w:rPr>
        <w:t>migration procedure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or IAB-DU migration procedure</w:t>
      </w:r>
      <w:r w:rsidR="003B6157">
        <w:rPr>
          <w:rFonts w:ascii="Times New Roman" w:eastAsia="宋体" w:hAnsi="Times New Roman" w:cs="Times New Roman"/>
          <w:kern w:val="0"/>
          <w:sz w:val="20"/>
          <w:szCs w:val="20"/>
        </w:rPr>
        <w:t>, which means</w:t>
      </w:r>
      <w:r w:rsidR="00A2414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E03558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air interface between the UE and the mobile IAB-node may be maintained during the </w:t>
      </w:r>
      <w:r w:rsidR="00E03558" w:rsidRPr="00AA3CB7">
        <w:rPr>
          <w:rFonts w:ascii="Times New Roman" w:eastAsia="宋体" w:hAnsi="Times New Roman" w:cs="Times New Roman"/>
          <w:kern w:val="0"/>
          <w:sz w:val="20"/>
          <w:szCs w:val="20"/>
        </w:rPr>
        <w:t xml:space="preserve">whole </w:t>
      </w:r>
      <w:r w:rsidR="00E03558">
        <w:rPr>
          <w:rFonts w:ascii="Times New Roman" w:eastAsia="宋体" w:hAnsi="Times New Roman" w:cs="Times New Roman"/>
          <w:kern w:val="0"/>
          <w:sz w:val="20"/>
          <w:szCs w:val="20"/>
        </w:rPr>
        <w:t xml:space="preserve">full </w:t>
      </w:r>
      <w:r w:rsidR="00E03558" w:rsidRPr="00AA3CB7">
        <w:rPr>
          <w:rFonts w:ascii="Times New Roman" w:eastAsia="宋体" w:hAnsi="Times New Roman" w:cs="Times New Roman"/>
          <w:kern w:val="0"/>
          <w:sz w:val="20"/>
          <w:szCs w:val="20"/>
        </w:rPr>
        <w:t>migration procedure</w:t>
      </w:r>
      <w:r w:rsidR="00E03558">
        <w:rPr>
          <w:rFonts w:ascii="Times New Roman" w:eastAsia="宋体" w:hAnsi="Times New Roman" w:cs="Times New Roman"/>
          <w:kern w:val="0"/>
          <w:sz w:val="20"/>
          <w:szCs w:val="20"/>
        </w:rPr>
        <w:t xml:space="preserve"> or IAB-DU migration procedure</w:t>
      </w:r>
      <w:r w:rsidR="00A24144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E03558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854F35">
        <w:rPr>
          <w:rFonts w:ascii="Times New Roman" w:eastAsia="宋体" w:hAnsi="Times New Roman" w:cs="Times New Roman"/>
          <w:kern w:val="0"/>
          <w:sz w:val="20"/>
          <w:szCs w:val="20"/>
        </w:rPr>
        <w:t>Therefore, i</w:t>
      </w:r>
      <w:r w:rsidR="00E03558"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case, </w:t>
      </w:r>
      <w:r w:rsidR="00854F35">
        <w:rPr>
          <w:rFonts w:ascii="Times New Roman" w:eastAsia="宋体" w:hAnsi="Times New Roman" w:cs="Times New Roman"/>
          <w:kern w:val="0"/>
          <w:sz w:val="20"/>
          <w:szCs w:val="20"/>
        </w:rPr>
        <w:t xml:space="preserve">at least some </w:t>
      </w:r>
      <w:r w:rsidR="00E03558">
        <w:rPr>
          <w:rFonts w:ascii="Times New Roman" w:eastAsia="宋体" w:hAnsi="Times New Roman" w:cs="Times New Roman"/>
          <w:kern w:val="0"/>
          <w:sz w:val="20"/>
          <w:szCs w:val="20"/>
        </w:rPr>
        <w:t>lower layer configurations (RLC, MAC and PHY) can be reused before and after migration</w:t>
      </w:r>
      <w:r w:rsidR="00854F35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between source logical IAB-DU1 and target logical IAB-DU2</w:t>
      </w:r>
      <w:r w:rsidR="00E03558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A2414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bookmarkEnd w:id="3"/>
    <w:p w14:paraId="114EAD86" w14:textId="317AEBC2" w:rsidR="00E11B68" w:rsidRDefault="00E11B68" w:rsidP="00E03558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1: </w:t>
      </w:r>
      <w:r w:rsidR="002E6015">
        <w:rPr>
          <w:rFonts w:ascii="Times New Roman" w:hAnsi="Times New Roman" w:cs="Times New Roman"/>
          <w:b/>
          <w:bCs/>
          <w:sz w:val="20"/>
          <w:szCs w:val="20"/>
        </w:rPr>
        <w:t xml:space="preserve">Lower </w:t>
      </w:r>
      <w:r>
        <w:rPr>
          <w:rFonts w:ascii="Times New Roman" w:hAnsi="Times New Roman" w:cs="Times New Roman"/>
          <w:b/>
          <w:bCs/>
          <w:sz w:val="20"/>
          <w:szCs w:val="20"/>
        </w:rPr>
        <w:t>layer configuration</w:t>
      </w:r>
      <w:r w:rsidR="00854F3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854F35" w:rsidRPr="00854F35">
        <w:rPr>
          <w:rFonts w:ascii="Times New Roman" w:hAnsi="Times New Roman" w:cs="Times New Roman"/>
          <w:b/>
          <w:bCs/>
          <w:sz w:val="20"/>
          <w:szCs w:val="20"/>
        </w:rPr>
        <w:t>(RLC, MAC and PHY)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can be shared between two logical </w:t>
      </w:r>
      <w:r w:rsidR="00854F35">
        <w:rPr>
          <w:rFonts w:ascii="Times New Roman" w:hAnsi="Times New Roman" w:cs="Times New Roman"/>
          <w:b/>
          <w:bCs/>
          <w:sz w:val="20"/>
          <w:szCs w:val="20"/>
        </w:rPr>
        <w:t>IAB-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DUs in case of </w:t>
      </w:r>
      <w:r w:rsidR="00854F35">
        <w:rPr>
          <w:rFonts w:ascii="Times New Roman" w:hAnsi="Times New Roman" w:cs="Times New Roman"/>
          <w:b/>
          <w:bCs/>
          <w:sz w:val="20"/>
          <w:szCs w:val="20"/>
        </w:rPr>
        <w:t xml:space="preserve">full migration and </w:t>
      </w:r>
      <w:r>
        <w:rPr>
          <w:rFonts w:ascii="Times New Roman" w:hAnsi="Times New Roman" w:cs="Times New Roman"/>
          <w:b/>
          <w:bCs/>
          <w:sz w:val="20"/>
          <w:szCs w:val="20"/>
        </w:rPr>
        <w:t>IAB-DU migration.</w:t>
      </w:r>
    </w:p>
    <w:p w14:paraId="4C56FA28" w14:textId="77777777" w:rsidR="001C41B0" w:rsidRDefault="001C41B0" w:rsidP="00E03558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</w:p>
    <w:p w14:paraId="53D2660D" w14:textId="22729AF8" w:rsidR="005E5569" w:rsidRPr="0079429A" w:rsidRDefault="005E5569" w:rsidP="005E5569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lastRenderedPageBreak/>
        <w:t>P</w:t>
      </w:r>
      <w:r w:rsidRPr="005E5569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re-configuration for IAB-DU migration</w:t>
      </w:r>
    </w:p>
    <w:tbl>
      <w:tblPr>
        <w:tblW w:w="9663" w:type="dxa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63"/>
      </w:tblGrid>
      <w:tr w:rsidR="00457A21" w14:paraId="17A2C2A3" w14:textId="77777777" w:rsidTr="00481AFE">
        <w:trPr>
          <w:trHeight w:val="796"/>
        </w:trPr>
        <w:tc>
          <w:tcPr>
            <w:tcW w:w="9663" w:type="dxa"/>
          </w:tcPr>
          <w:p w14:paraId="4EB18792" w14:textId="2535D90D" w:rsidR="0001682C" w:rsidRDefault="0001682C" w:rsidP="000E47A7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AN3 117-e</w:t>
            </w:r>
            <w:r w:rsidR="005516DB">
              <w:rPr>
                <w:rFonts w:ascii="Times New Roman" w:hAnsi="Times New Roman" w:cs="Times New Roman"/>
                <w:sz w:val="20"/>
                <w:szCs w:val="20"/>
              </w:rPr>
              <w:t xml:space="preserve"> [2]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687DDD3" w14:textId="01A3E3CD" w:rsidR="0001682C" w:rsidRDefault="0001682C" w:rsidP="000E47A7">
            <w:pPr>
              <w:pStyle w:val="af3"/>
              <w:spacing w:before="0" w:beforeAutospacing="0" w:after="0" w:afterAutospacing="0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 w:rsidRPr="0001682C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RAN3 to discuss whether a mobile IAB node may be configured with multiple configurations, each corresponding to a different target donor, that can be activated upon fulfillment of certain condition(s). The details of the configurations are FFS.</w:t>
            </w:r>
          </w:p>
          <w:p w14:paraId="0766CEB9" w14:textId="77777777" w:rsidR="00602419" w:rsidRPr="0001682C" w:rsidRDefault="00602419" w:rsidP="000E47A7">
            <w:pPr>
              <w:pStyle w:val="af3"/>
              <w:spacing w:before="0" w:beforeAutospacing="0" w:after="0" w:afterAutospacing="0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</w:p>
          <w:p w14:paraId="26719FB5" w14:textId="32B247EA" w:rsidR="00457A21" w:rsidRPr="004877E1" w:rsidRDefault="00457A21" w:rsidP="000E47A7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77E1"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 w:rsidRPr="004877E1">
              <w:rPr>
                <w:rFonts w:ascii="Times New Roman" w:hAnsi="Times New Roman" w:cs="Times New Roman"/>
                <w:sz w:val="20"/>
                <w:szCs w:val="20"/>
              </w:rPr>
              <w:t>AN3 117bis-e</w:t>
            </w:r>
            <w:r w:rsidR="005516DB">
              <w:rPr>
                <w:rFonts w:ascii="Times New Roman" w:hAnsi="Times New Roman" w:cs="Times New Roman"/>
                <w:sz w:val="20"/>
                <w:szCs w:val="20"/>
              </w:rPr>
              <w:t xml:space="preserve"> [3]</w:t>
            </w:r>
            <w:r w:rsidRPr="004877E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008AB5B" w14:textId="460BCCEB" w:rsidR="00457A21" w:rsidRPr="00457A21" w:rsidRDefault="00457A21" w:rsidP="000E47A7">
            <w:pPr>
              <w:pStyle w:val="af3"/>
              <w:spacing w:before="0" w:beforeAutospacing="0" w:after="0" w:afterAutospacing="0"/>
              <w:rPr>
                <w:rFonts w:ascii="Calibri" w:hAnsi="Calibri" w:cs="Calibri"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RAN3 to discuss which of the OAM-configured and network-configured parameters may be pre-configured at a mobile IAB-node, after a baseline procedure for IAB-DU migration is developed.</w:t>
            </w:r>
          </w:p>
        </w:tc>
      </w:tr>
    </w:tbl>
    <w:p w14:paraId="04D366AD" w14:textId="41BAF616" w:rsidR="00F03265" w:rsidRDefault="00104AE3" w:rsidP="005E556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P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re-configuration at the mobile IAB-node may have some advantages to reduce the latency during IAB-DU migration or full migration</w:t>
      </w:r>
      <w:r w:rsidR="00A1547A">
        <w:rPr>
          <w:rFonts w:ascii="Times New Roman" w:eastAsia="宋体" w:hAnsi="Times New Roman" w:cs="Times New Roman"/>
          <w:kern w:val="0"/>
          <w:sz w:val="20"/>
          <w:szCs w:val="20"/>
        </w:rPr>
        <w:t xml:space="preserve">, especially for the case of regular </w:t>
      </w:r>
      <w:r w:rsidR="00A11000">
        <w:rPr>
          <w:rFonts w:ascii="Times New Roman" w:eastAsia="宋体" w:hAnsi="Times New Roman" w:cs="Times New Roman"/>
          <w:kern w:val="0"/>
          <w:sz w:val="20"/>
          <w:szCs w:val="20"/>
        </w:rPr>
        <w:t>trajectory</w:t>
      </w:r>
      <w:r w:rsidR="00A1547A">
        <w:rPr>
          <w:rFonts w:ascii="Times New Roman" w:eastAsia="宋体" w:hAnsi="Times New Roman" w:cs="Times New Roman"/>
          <w:kern w:val="0"/>
          <w:sz w:val="20"/>
          <w:szCs w:val="20"/>
        </w:rPr>
        <w:t xml:space="preserve"> or predicable </w:t>
      </w:r>
      <w:r w:rsidR="00A11000">
        <w:rPr>
          <w:rFonts w:ascii="Times New Roman" w:eastAsia="宋体" w:hAnsi="Times New Roman" w:cs="Times New Roman"/>
          <w:kern w:val="0"/>
          <w:sz w:val="20"/>
          <w:szCs w:val="20"/>
        </w:rPr>
        <w:t xml:space="preserve">trajectory </w:t>
      </w:r>
      <w:r w:rsidR="00A1547A">
        <w:rPr>
          <w:rFonts w:ascii="Times New Roman" w:eastAsia="宋体" w:hAnsi="Times New Roman" w:cs="Times New Roman"/>
          <w:kern w:val="0"/>
          <w:sz w:val="20"/>
          <w:szCs w:val="20"/>
        </w:rPr>
        <w:t>of mobile IAB-node.</w:t>
      </w:r>
      <w:r w:rsidR="002E313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4F1645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addition, </w:t>
      </w:r>
      <w:r w:rsidR="003C49ED">
        <w:rPr>
          <w:rFonts w:ascii="Times New Roman" w:eastAsia="宋体" w:hAnsi="Times New Roman" w:cs="Times New Roman"/>
          <w:kern w:val="0"/>
          <w:sz w:val="20"/>
          <w:szCs w:val="20"/>
        </w:rPr>
        <w:t xml:space="preserve">only the static paraments could </w:t>
      </w:r>
      <w:proofErr w:type="gramStart"/>
      <w:r w:rsidR="003C49ED">
        <w:rPr>
          <w:rFonts w:ascii="Times New Roman" w:eastAsia="宋体" w:hAnsi="Times New Roman" w:cs="Times New Roman"/>
          <w:kern w:val="0"/>
          <w:sz w:val="20"/>
          <w:szCs w:val="20"/>
        </w:rPr>
        <w:t xml:space="preserve">be </w:t>
      </w:r>
      <w:r w:rsidR="002E699D">
        <w:rPr>
          <w:rFonts w:ascii="Times New Roman" w:eastAsia="宋体" w:hAnsi="Times New Roman" w:cs="Times New Roman"/>
          <w:kern w:val="0"/>
          <w:sz w:val="20"/>
          <w:szCs w:val="20"/>
        </w:rPr>
        <w:t>considered to be</w:t>
      </w:r>
      <w:proofErr w:type="gramEnd"/>
      <w:r w:rsidR="002E699D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3C49ED">
        <w:rPr>
          <w:rFonts w:ascii="Times New Roman" w:eastAsia="宋体" w:hAnsi="Times New Roman" w:cs="Times New Roman"/>
          <w:kern w:val="0"/>
          <w:sz w:val="20"/>
          <w:szCs w:val="20"/>
        </w:rPr>
        <w:t xml:space="preserve">pre-configured at the mobile IAB-node, otherwise, it’s meaningless </w:t>
      </w:r>
      <w:r w:rsidR="00956E73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the pre-configured parameters may be already outdated by the time they are used which </w:t>
      </w:r>
      <w:r w:rsidR="001318BC">
        <w:rPr>
          <w:rFonts w:ascii="Times New Roman" w:eastAsia="宋体" w:hAnsi="Times New Roman" w:cs="Times New Roman"/>
          <w:kern w:val="0"/>
          <w:sz w:val="20"/>
          <w:szCs w:val="20"/>
        </w:rPr>
        <w:t>led</w:t>
      </w:r>
      <w:r w:rsidR="00956E73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extra overhead.</w:t>
      </w:r>
      <w:r w:rsidR="006E3B4C">
        <w:rPr>
          <w:rFonts w:ascii="Times New Roman" w:eastAsia="宋体" w:hAnsi="Times New Roman" w:cs="Times New Roman"/>
          <w:kern w:val="0"/>
          <w:sz w:val="20"/>
          <w:szCs w:val="20"/>
        </w:rPr>
        <w:t xml:space="preserve"> As an example,</w:t>
      </w:r>
      <w:r w:rsidR="009D52B4">
        <w:rPr>
          <w:rFonts w:ascii="Times New Roman" w:eastAsia="宋体" w:hAnsi="Times New Roman" w:cs="Times New Roman"/>
          <w:kern w:val="0"/>
          <w:sz w:val="20"/>
          <w:szCs w:val="20"/>
        </w:rPr>
        <w:t xml:space="preserve"> at least</w:t>
      </w:r>
      <w:r w:rsidR="006E3B4C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TNL address(es) of second logical IAB-DU and target IAB-donor-CU </w:t>
      </w:r>
      <w:r w:rsidR="00AC018E">
        <w:rPr>
          <w:rFonts w:ascii="Times New Roman" w:eastAsia="宋体" w:hAnsi="Times New Roman" w:cs="Times New Roman"/>
          <w:kern w:val="0"/>
          <w:sz w:val="20"/>
          <w:szCs w:val="20"/>
        </w:rPr>
        <w:t>can be pre-stored at the mobile IAB-node to accelerate the F1 setup between second logical IAB-DU and target IAB-donor-CU.</w:t>
      </w:r>
      <w:r w:rsidR="002E60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37934E39" w14:textId="0C699C22" w:rsidR="00662CC3" w:rsidRPr="00457A21" w:rsidRDefault="00662CC3" w:rsidP="00662CC3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637F81">
        <w:rPr>
          <w:rFonts w:ascii="Times New Roman" w:hAnsi="Times New Roman" w:cs="Times New Roman"/>
          <w:b/>
          <w:bCs/>
          <w:sz w:val="20"/>
          <w:szCs w:val="20"/>
        </w:rPr>
        <w:t>2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: The TNL address(es) of </w:t>
      </w:r>
      <w:r w:rsidR="00AC018E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="00AC018E" w:rsidRPr="00AC018E">
        <w:rPr>
          <w:rFonts w:ascii="Times New Roman" w:hAnsi="Times New Roman" w:cs="Times New Roman"/>
          <w:b/>
          <w:bCs/>
          <w:sz w:val="20"/>
          <w:szCs w:val="20"/>
        </w:rPr>
        <w:t>econd logical IAB-DU and target IAB-donor-CU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can be pre-configured at the mobile IAB-node</w:t>
      </w:r>
      <w:r w:rsidR="00F03265">
        <w:rPr>
          <w:rFonts w:ascii="Times New Roman" w:hAnsi="Times New Roman" w:cs="Times New Roman"/>
          <w:b/>
          <w:bCs/>
          <w:sz w:val="20"/>
          <w:szCs w:val="20"/>
        </w:rPr>
        <w:t xml:space="preserve"> in case of determined </w:t>
      </w:r>
      <w:r w:rsidR="00A11000" w:rsidRPr="00A11000">
        <w:rPr>
          <w:rFonts w:ascii="Times New Roman" w:hAnsi="Times New Roman" w:cs="Times New Roman"/>
          <w:b/>
          <w:bCs/>
          <w:sz w:val="20"/>
          <w:szCs w:val="20"/>
        </w:rPr>
        <w:t>trajectory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00117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0785732B" w14:textId="77777777" w:rsidR="00A71889" w:rsidRDefault="00122FE5" w:rsidP="005E556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legacy F1 setup procedure,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-DU may obtain the TNL address of </w:t>
      </w:r>
      <w:proofErr w:type="spellStart"/>
      <w:r w:rsidR="00251576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>-CU from OAM.</w:t>
      </w:r>
      <w:r w:rsidR="00251576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5E197D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Therefore, for the stationary IAB-node in R16 and R17, </w:t>
      </w:r>
      <w:r w:rsidR="00996310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IAB-DU selects the F1-terminating IAB-donor-CU to setup F1 interface based on the OAM configuration. </w:t>
      </w:r>
    </w:p>
    <w:p w14:paraId="10F6620A" w14:textId="35184F35" w:rsidR="004F59C5" w:rsidRDefault="00996310" w:rsidP="005E556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However, for the mobile IAB-node, </w:t>
      </w:r>
      <w:r w:rsidR="00292747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target IAB-donor-CU </w:t>
      </w:r>
      <w:r w:rsidR="00A71889">
        <w:rPr>
          <w:rFonts w:ascii="Times New Roman" w:eastAsia="宋体" w:hAnsi="Times New Roman" w:cs="Times New Roman"/>
          <w:kern w:val="0"/>
          <w:sz w:val="20"/>
          <w:szCs w:val="20"/>
        </w:rPr>
        <w:t>may be</w:t>
      </w:r>
      <w:r w:rsidR="00292747">
        <w:rPr>
          <w:rFonts w:ascii="Times New Roman" w:eastAsia="宋体" w:hAnsi="Times New Roman" w:cs="Times New Roman"/>
          <w:kern w:val="0"/>
          <w:sz w:val="20"/>
          <w:szCs w:val="20"/>
        </w:rPr>
        <w:t xml:space="preserve"> unpredictable due to the random mobility of mobile IAB-node, the legacy configuration from OAM for target TNL address may not be workable</w:t>
      </w:r>
      <w:r w:rsidR="00144D1D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A7188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9659D8">
        <w:rPr>
          <w:rFonts w:ascii="Times New Roman" w:eastAsia="宋体" w:hAnsi="Times New Roman" w:cs="Times New Roman"/>
          <w:kern w:val="0"/>
          <w:sz w:val="20"/>
          <w:szCs w:val="20"/>
        </w:rPr>
        <w:t>And based on agreement from last meeting, it’s the IAB-</w:t>
      </w:r>
      <w:r w:rsidR="009659D8" w:rsidRPr="009659D8">
        <w:rPr>
          <w:rFonts w:ascii="Times New Roman" w:eastAsia="宋体" w:hAnsi="Times New Roman" w:cs="Times New Roman"/>
          <w:kern w:val="0"/>
          <w:sz w:val="20"/>
          <w:szCs w:val="20"/>
        </w:rPr>
        <w:t>donor</w:t>
      </w:r>
      <w:r w:rsidR="009659D8">
        <w:rPr>
          <w:rFonts w:ascii="Times New Roman" w:eastAsia="宋体" w:hAnsi="Times New Roman" w:cs="Times New Roman"/>
          <w:kern w:val="0"/>
          <w:sz w:val="20"/>
          <w:szCs w:val="20"/>
        </w:rPr>
        <w:t>-CU</w:t>
      </w:r>
      <w:r w:rsidR="009659D8" w:rsidRPr="009659D8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serving the IAB-DU</w:t>
      </w:r>
      <w:r w:rsidR="007C1161">
        <w:rPr>
          <w:rFonts w:ascii="Times New Roman" w:eastAsia="宋体" w:hAnsi="Times New Roman" w:cs="Times New Roman"/>
          <w:kern w:val="0"/>
          <w:sz w:val="20"/>
          <w:szCs w:val="20"/>
        </w:rPr>
        <w:t xml:space="preserve"> (F1-termiating IAB-donor-CU)</w:t>
      </w:r>
      <w:r w:rsidR="009659D8" w:rsidRPr="009659D8">
        <w:rPr>
          <w:rFonts w:ascii="Times New Roman" w:eastAsia="宋体" w:hAnsi="Times New Roman" w:cs="Times New Roman"/>
          <w:kern w:val="0"/>
          <w:sz w:val="20"/>
          <w:szCs w:val="20"/>
        </w:rPr>
        <w:t xml:space="preserve"> decides whether to execute IAB-DU migration or inter-donor F1 transport migration for the IAB-DU</w:t>
      </w:r>
      <w:r w:rsidR="009659D8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7C1161">
        <w:rPr>
          <w:rFonts w:ascii="Times New Roman" w:eastAsia="宋体" w:hAnsi="Times New Roman" w:cs="Times New Roman"/>
          <w:kern w:val="0"/>
          <w:sz w:val="20"/>
          <w:szCs w:val="20"/>
        </w:rPr>
        <w:t>How does the F1-termiating IAB-donor-CU and target logical IAB-DU to obtain the TNL address of target IAB-donor-CU needs to be further investigated.</w:t>
      </w:r>
    </w:p>
    <w:p w14:paraId="1ABBDAE3" w14:textId="7ED679E2" w:rsidR="00E11B68" w:rsidRPr="0076637F" w:rsidRDefault="007C1161" w:rsidP="0004389E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963112">
        <w:rPr>
          <w:rFonts w:ascii="Times New Roman" w:hAnsi="Times New Roman" w:cs="Times New Roman"/>
          <w:b/>
          <w:bCs/>
          <w:sz w:val="20"/>
          <w:szCs w:val="20"/>
        </w:rPr>
        <w:t>3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: RAN3 to </w:t>
      </w:r>
      <w:r w:rsidR="00EC1BD3">
        <w:rPr>
          <w:rFonts w:ascii="Times New Roman" w:hAnsi="Times New Roman" w:cs="Times New Roman"/>
          <w:b/>
          <w:bCs/>
          <w:sz w:val="20"/>
          <w:szCs w:val="20"/>
        </w:rPr>
        <w:t>consider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how </w:t>
      </w:r>
      <w:r w:rsidRPr="007C1161">
        <w:rPr>
          <w:rFonts w:ascii="Times New Roman" w:hAnsi="Times New Roman" w:cs="Times New Roman"/>
          <w:b/>
          <w:bCs/>
          <w:sz w:val="20"/>
          <w:szCs w:val="20"/>
        </w:rPr>
        <w:t>F1-termiating IAB-donor-CU and target logical IAB-DU to obtain the TNL address of target IAB-donor-CU</w:t>
      </w:r>
      <w:r w:rsidR="00EC1BD3">
        <w:rPr>
          <w:rFonts w:ascii="Times New Roman" w:hAnsi="Times New Roman" w:cs="Times New Roman"/>
          <w:b/>
          <w:bCs/>
          <w:sz w:val="20"/>
          <w:szCs w:val="20"/>
        </w:rPr>
        <w:t xml:space="preserve"> for mobile IAB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1DAEA06C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853907">
        <w:rPr>
          <w:rFonts w:ascii="Times New Roman" w:eastAsia="宋体" w:hAnsi="Times New Roman" w:cs="Times New Roman" w:hint="eastAsia"/>
          <w:kern w:val="0"/>
          <w:sz w:val="20"/>
          <w:szCs w:val="20"/>
        </w:rPr>
        <w:t>e</w:t>
      </w:r>
      <w:r w:rsidR="00853907" w:rsidRPr="00853907">
        <w:rPr>
          <w:rFonts w:ascii="Times New Roman" w:eastAsia="宋体" w:hAnsi="Times New Roman" w:cs="Times New Roman"/>
          <w:kern w:val="0"/>
          <w:sz w:val="20"/>
          <w:szCs w:val="20"/>
        </w:rPr>
        <w:t xml:space="preserve">nhancements for mobility of an IAB-node together with </w:t>
      </w:r>
      <w:proofErr w:type="gramStart"/>
      <w:r w:rsidR="00853907" w:rsidRPr="00853907">
        <w:rPr>
          <w:rFonts w:ascii="Times New Roman" w:eastAsia="宋体" w:hAnsi="Times New Roman" w:cs="Times New Roman"/>
          <w:kern w:val="0"/>
          <w:sz w:val="20"/>
          <w:szCs w:val="20"/>
        </w:rPr>
        <w:t>its</w:t>
      </w:r>
      <w:proofErr w:type="gramEnd"/>
      <w:r w:rsidR="00853907" w:rsidRPr="00853907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served UEs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5B00142C" w14:textId="4BF0869F" w:rsidR="00EE4080" w:rsidRDefault="00EE4080" w:rsidP="00EE4080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1: </w:t>
      </w:r>
      <w:r w:rsidR="002E6015">
        <w:rPr>
          <w:rFonts w:ascii="Times New Roman" w:hAnsi="Times New Roman" w:cs="Times New Roman"/>
          <w:b/>
          <w:bCs/>
          <w:sz w:val="20"/>
          <w:szCs w:val="20"/>
        </w:rPr>
        <w:t>Lower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layer configuration </w:t>
      </w:r>
      <w:r w:rsidRPr="00854F35">
        <w:rPr>
          <w:rFonts w:ascii="Times New Roman" w:hAnsi="Times New Roman" w:cs="Times New Roman"/>
          <w:b/>
          <w:bCs/>
          <w:sz w:val="20"/>
          <w:szCs w:val="20"/>
        </w:rPr>
        <w:t>(RLC, MAC and PHY)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can be shared between two logical IAB-DUs in case of full migration and IAB-DU migration.</w:t>
      </w:r>
    </w:p>
    <w:p w14:paraId="2D12C4BC" w14:textId="77777777" w:rsidR="00EE4080" w:rsidRPr="00457A21" w:rsidRDefault="00EE4080" w:rsidP="00EE4080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2: The TNL address(es) of s</w:t>
      </w:r>
      <w:r w:rsidRPr="00AC018E">
        <w:rPr>
          <w:rFonts w:ascii="Times New Roman" w:hAnsi="Times New Roman" w:cs="Times New Roman"/>
          <w:b/>
          <w:bCs/>
          <w:sz w:val="20"/>
          <w:szCs w:val="20"/>
        </w:rPr>
        <w:t>econd logical IAB-DU and target IAB-donor-CU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can be pre-configured at the mobile IAB-node in case of determined </w:t>
      </w:r>
      <w:r w:rsidRPr="00A11000">
        <w:rPr>
          <w:rFonts w:ascii="Times New Roman" w:hAnsi="Times New Roman" w:cs="Times New Roman"/>
          <w:b/>
          <w:bCs/>
          <w:sz w:val="20"/>
          <w:szCs w:val="20"/>
        </w:rPr>
        <w:t>trajectory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4F4D13DE" w14:textId="050ECB37" w:rsidR="00EE4080" w:rsidRPr="00EE4080" w:rsidRDefault="00EE4080" w:rsidP="0004389E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3: RAN3 to consider how </w:t>
      </w:r>
      <w:r w:rsidRPr="007C1161">
        <w:rPr>
          <w:rFonts w:ascii="Times New Roman" w:hAnsi="Times New Roman" w:cs="Times New Roman"/>
          <w:b/>
          <w:bCs/>
          <w:sz w:val="20"/>
          <w:szCs w:val="20"/>
        </w:rPr>
        <w:t>F1-termiating IAB-donor-CU and target logical IAB-DU to obtain the TNL address of target IAB-donor-CU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for mobile IAB.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1"/>
    <w:bookmarkEnd w:id="2"/>
    <w:p w14:paraId="17AF3434" w14:textId="49014A6A" w:rsidR="00C45DB2" w:rsidRPr="00FD44EF" w:rsidRDefault="00FD44EF" w:rsidP="00FD44EF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RP-222671. Revised WID for </w:t>
      </w:r>
      <w:proofErr w:type="spellStart"/>
      <w:r>
        <w:rPr>
          <w:rFonts w:ascii="Times New Roman" w:eastAsia="宋体" w:hAnsi="Times New Roman" w:cs="Times New Roman"/>
          <w:kern w:val="0"/>
          <w:sz w:val="20"/>
          <w:lang w:val="x-none"/>
        </w:rPr>
        <w:t>NR_mobile_IAB</w:t>
      </w:r>
      <w:proofErr w:type="spellEnd"/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</w:p>
    <w:p w14:paraId="0AAD0F64" w14:textId="7E3D762B" w:rsidR="004623EC" w:rsidRDefault="004623EC" w:rsidP="00944C84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>C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hairman notes of RAN3 117-e meeting.</w:t>
      </w:r>
    </w:p>
    <w:p w14:paraId="2C70CB7F" w14:textId="1C739635" w:rsidR="00840B57" w:rsidRPr="0004389E" w:rsidRDefault="001A1855" w:rsidP="0004389E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>C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hairman notes of RAN</w:t>
      </w:r>
      <w:r w:rsidR="008E067B">
        <w:rPr>
          <w:rFonts w:ascii="Times New Roman" w:eastAsia="宋体" w:hAnsi="Times New Roman" w:cs="Times New Roman"/>
          <w:kern w:val="0"/>
          <w:sz w:val="20"/>
          <w:lang w:val="x-none"/>
        </w:rPr>
        <w:t>3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11</w:t>
      </w:r>
      <w:r w:rsidR="008E067B">
        <w:rPr>
          <w:rFonts w:ascii="Times New Roman" w:eastAsia="宋体" w:hAnsi="Times New Roman" w:cs="Times New Roman"/>
          <w:kern w:val="0"/>
          <w:sz w:val="20"/>
          <w:lang w:val="x-none"/>
        </w:rPr>
        <w:t>7bis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-e meeting.</w:t>
      </w:r>
    </w:p>
    <w:sectPr w:rsidR="00840B57" w:rsidRPr="0004389E" w:rsidSect="0085683C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234F7" w14:textId="77777777" w:rsidR="004F01CC" w:rsidRDefault="004F01CC" w:rsidP="00AA3FAE">
      <w:r>
        <w:separator/>
      </w:r>
    </w:p>
  </w:endnote>
  <w:endnote w:type="continuationSeparator" w:id="0">
    <w:p w14:paraId="77DDB3AA" w14:textId="77777777" w:rsidR="004F01CC" w:rsidRDefault="004F01CC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58E2E" w14:textId="77777777" w:rsidR="004F01CC" w:rsidRDefault="004F01CC" w:rsidP="00AA3FAE">
      <w:r>
        <w:separator/>
      </w:r>
    </w:p>
  </w:footnote>
  <w:footnote w:type="continuationSeparator" w:id="0">
    <w:p w14:paraId="12DAAF11" w14:textId="77777777" w:rsidR="004F01CC" w:rsidRDefault="004F01CC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3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9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8"/>
  </w:num>
  <w:num w:numId="5">
    <w:abstractNumId w:val="0"/>
  </w:num>
  <w:num w:numId="6">
    <w:abstractNumId w:val="1"/>
  </w:num>
  <w:num w:numId="7">
    <w:abstractNumId w:val="9"/>
  </w:num>
  <w:num w:numId="8">
    <w:abstractNumId w:val="3"/>
  </w:num>
  <w:num w:numId="9">
    <w:abstractNumId w:val="7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1173"/>
    <w:rsid w:val="00002113"/>
    <w:rsid w:val="000024F1"/>
    <w:rsid w:val="00006F15"/>
    <w:rsid w:val="0000703A"/>
    <w:rsid w:val="00011F5D"/>
    <w:rsid w:val="000165E4"/>
    <w:rsid w:val="0001682C"/>
    <w:rsid w:val="00017A52"/>
    <w:rsid w:val="00022004"/>
    <w:rsid w:val="00022A6F"/>
    <w:rsid w:val="000306D0"/>
    <w:rsid w:val="00032116"/>
    <w:rsid w:val="00035328"/>
    <w:rsid w:val="000358DE"/>
    <w:rsid w:val="00035983"/>
    <w:rsid w:val="000362AC"/>
    <w:rsid w:val="0004389E"/>
    <w:rsid w:val="00046943"/>
    <w:rsid w:val="00047E11"/>
    <w:rsid w:val="000505CB"/>
    <w:rsid w:val="00050999"/>
    <w:rsid w:val="000566E1"/>
    <w:rsid w:val="00060A16"/>
    <w:rsid w:val="000613CF"/>
    <w:rsid w:val="0006683B"/>
    <w:rsid w:val="00067403"/>
    <w:rsid w:val="00070D39"/>
    <w:rsid w:val="00072D31"/>
    <w:rsid w:val="0007335E"/>
    <w:rsid w:val="00083ECB"/>
    <w:rsid w:val="00086B95"/>
    <w:rsid w:val="000874BB"/>
    <w:rsid w:val="00095520"/>
    <w:rsid w:val="0009781A"/>
    <w:rsid w:val="000A18DF"/>
    <w:rsid w:val="000A3D7E"/>
    <w:rsid w:val="000B1D18"/>
    <w:rsid w:val="000B7C20"/>
    <w:rsid w:val="000C0937"/>
    <w:rsid w:val="000C15D9"/>
    <w:rsid w:val="000C3F89"/>
    <w:rsid w:val="000C7510"/>
    <w:rsid w:val="000D0A67"/>
    <w:rsid w:val="000D3ADF"/>
    <w:rsid w:val="000D4846"/>
    <w:rsid w:val="000D5F51"/>
    <w:rsid w:val="000E24D5"/>
    <w:rsid w:val="000E61B1"/>
    <w:rsid w:val="000E651D"/>
    <w:rsid w:val="000E706D"/>
    <w:rsid w:val="000F0260"/>
    <w:rsid w:val="000F0785"/>
    <w:rsid w:val="000F6A9D"/>
    <w:rsid w:val="00100689"/>
    <w:rsid w:val="00101812"/>
    <w:rsid w:val="00103F6F"/>
    <w:rsid w:val="00104AE3"/>
    <w:rsid w:val="00111B28"/>
    <w:rsid w:val="0011469E"/>
    <w:rsid w:val="00115E31"/>
    <w:rsid w:val="00121955"/>
    <w:rsid w:val="00122FE5"/>
    <w:rsid w:val="00123848"/>
    <w:rsid w:val="0012600A"/>
    <w:rsid w:val="00130515"/>
    <w:rsid w:val="001318BC"/>
    <w:rsid w:val="00134A9A"/>
    <w:rsid w:val="00134C0A"/>
    <w:rsid w:val="001353CD"/>
    <w:rsid w:val="00144D1D"/>
    <w:rsid w:val="0015523D"/>
    <w:rsid w:val="001556FC"/>
    <w:rsid w:val="00161A1A"/>
    <w:rsid w:val="001623DF"/>
    <w:rsid w:val="0017256C"/>
    <w:rsid w:val="00172D96"/>
    <w:rsid w:val="0017587A"/>
    <w:rsid w:val="001847E8"/>
    <w:rsid w:val="00190FAF"/>
    <w:rsid w:val="0019499C"/>
    <w:rsid w:val="001A1855"/>
    <w:rsid w:val="001A2383"/>
    <w:rsid w:val="001A38C6"/>
    <w:rsid w:val="001A44C7"/>
    <w:rsid w:val="001B31AB"/>
    <w:rsid w:val="001C0436"/>
    <w:rsid w:val="001C0F1D"/>
    <w:rsid w:val="001C3355"/>
    <w:rsid w:val="001C41B0"/>
    <w:rsid w:val="001D64DD"/>
    <w:rsid w:val="001F0325"/>
    <w:rsid w:val="001F03D3"/>
    <w:rsid w:val="001F1C18"/>
    <w:rsid w:val="001F34D3"/>
    <w:rsid w:val="001F5824"/>
    <w:rsid w:val="002070BF"/>
    <w:rsid w:val="00213791"/>
    <w:rsid w:val="0022248C"/>
    <w:rsid w:val="00222F62"/>
    <w:rsid w:val="002271C5"/>
    <w:rsid w:val="00227B13"/>
    <w:rsid w:val="00230B9F"/>
    <w:rsid w:val="00232519"/>
    <w:rsid w:val="0023595E"/>
    <w:rsid w:val="00236927"/>
    <w:rsid w:val="0024433A"/>
    <w:rsid w:val="00245E3F"/>
    <w:rsid w:val="002500C6"/>
    <w:rsid w:val="00251576"/>
    <w:rsid w:val="00252938"/>
    <w:rsid w:val="00256265"/>
    <w:rsid w:val="00261529"/>
    <w:rsid w:val="00277010"/>
    <w:rsid w:val="00281EF8"/>
    <w:rsid w:val="00283294"/>
    <w:rsid w:val="00286C7E"/>
    <w:rsid w:val="0029202E"/>
    <w:rsid w:val="00292747"/>
    <w:rsid w:val="00292940"/>
    <w:rsid w:val="00294BCA"/>
    <w:rsid w:val="00296522"/>
    <w:rsid w:val="002A5557"/>
    <w:rsid w:val="002A67AC"/>
    <w:rsid w:val="002A6985"/>
    <w:rsid w:val="002A7108"/>
    <w:rsid w:val="002B23C1"/>
    <w:rsid w:val="002B61AB"/>
    <w:rsid w:val="002B7FB5"/>
    <w:rsid w:val="002C1BFE"/>
    <w:rsid w:val="002C6DA5"/>
    <w:rsid w:val="002D370E"/>
    <w:rsid w:val="002D6F0D"/>
    <w:rsid w:val="002E166E"/>
    <w:rsid w:val="002E3135"/>
    <w:rsid w:val="002E3F52"/>
    <w:rsid w:val="002E4DF3"/>
    <w:rsid w:val="002E6015"/>
    <w:rsid w:val="002E6241"/>
    <w:rsid w:val="002E699D"/>
    <w:rsid w:val="002F0CB9"/>
    <w:rsid w:val="002F19C1"/>
    <w:rsid w:val="002F231B"/>
    <w:rsid w:val="002F4481"/>
    <w:rsid w:val="002F49BB"/>
    <w:rsid w:val="002F7DD1"/>
    <w:rsid w:val="00300908"/>
    <w:rsid w:val="00304AB3"/>
    <w:rsid w:val="00312351"/>
    <w:rsid w:val="003169C7"/>
    <w:rsid w:val="0031760A"/>
    <w:rsid w:val="003179AD"/>
    <w:rsid w:val="0032255E"/>
    <w:rsid w:val="00324B30"/>
    <w:rsid w:val="0033243A"/>
    <w:rsid w:val="0033630B"/>
    <w:rsid w:val="00340F49"/>
    <w:rsid w:val="00341F62"/>
    <w:rsid w:val="00343D32"/>
    <w:rsid w:val="0035034A"/>
    <w:rsid w:val="00351B06"/>
    <w:rsid w:val="003521C3"/>
    <w:rsid w:val="00362F2C"/>
    <w:rsid w:val="00364AC3"/>
    <w:rsid w:val="00371B3B"/>
    <w:rsid w:val="00373427"/>
    <w:rsid w:val="003848D1"/>
    <w:rsid w:val="00384956"/>
    <w:rsid w:val="00385E03"/>
    <w:rsid w:val="00387EF8"/>
    <w:rsid w:val="003901C4"/>
    <w:rsid w:val="003976B5"/>
    <w:rsid w:val="003A0B1A"/>
    <w:rsid w:val="003A4A2A"/>
    <w:rsid w:val="003A5735"/>
    <w:rsid w:val="003B170E"/>
    <w:rsid w:val="003B4C4B"/>
    <w:rsid w:val="003B6157"/>
    <w:rsid w:val="003C172B"/>
    <w:rsid w:val="003C333E"/>
    <w:rsid w:val="003C49ED"/>
    <w:rsid w:val="003C6CEF"/>
    <w:rsid w:val="003D535D"/>
    <w:rsid w:val="003F22E5"/>
    <w:rsid w:val="003F2D27"/>
    <w:rsid w:val="003F2E3B"/>
    <w:rsid w:val="003F5217"/>
    <w:rsid w:val="00402DFA"/>
    <w:rsid w:val="0040415F"/>
    <w:rsid w:val="00404D86"/>
    <w:rsid w:val="0040527B"/>
    <w:rsid w:val="00405361"/>
    <w:rsid w:val="00410D54"/>
    <w:rsid w:val="004139B5"/>
    <w:rsid w:val="004139F0"/>
    <w:rsid w:val="00415D56"/>
    <w:rsid w:val="00431BB4"/>
    <w:rsid w:val="0043789D"/>
    <w:rsid w:val="00445267"/>
    <w:rsid w:val="00454F9D"/>
    <w:rsid w:val="004561FF"/>
    <w:rsid w:val="00457A21"/>
    <w:rsid w:val="00461164"/>
    <w:rsid w:val="004623EC"/>
    <w:rsid w:val="0046367F"/>
    <w:rsid w:val="004646DC"/>
    <w:rsid w:val="00470777"/>
    <w:rsid w:val="004732BE"/>
    <w:rsid w:val="004774BA"/>
    <w:rsid w:val="0047779A"/>
    <w:rsid w:val="00481AFE"/>
    <w:rsid w:val="00482C89"/>
    <w:rsid w:val="00482EDB"/>
    <w:rsid w:val="00485440"/>
    <w:rsid w:val="004877E1"/>
    <w:rsid w:val="00487DC1"/>
    <w:rsid w:val="00493281"/>
    <w:rsid w:val="004958CF"/>
    <w:rsid w:val="00496C05"/>
    <w:rsid w:val="004A0380"/>
    <w:rsid w:val="004A40B8"/>
    <w:rsid w:val="004A7B5F"/>
    <w:rsid w:val="004B04C5"/>
    <w:rsid w:val="004B5B72"/>
    <w:rsid w:val="004B5BA7"/>
    <w:rsid w:val="004B5F55"/>
    <w:rsid w:val="004C4B68"/>
    <w:rsid w:val="004C753F"/>
    <w:rsid w:val="004D23F2"/>
    <w:rsid w:val="004D54D2"/>
    <w:rsid w:val="004E0968"/>
    <w:rsid w:val="004E23B0"/>
    <w:rsid w:val="004E7396"/>
    <w:rsid w:val="004F01CC"/>
    <w:rsid w:val="004F1645"/>
    <w:rsid w:val="004F17F8"/>
    <w:rsid w:val="004F1FBE"/>
    <w:rsid w:val="004F59C5"/>
    <w:rsid w:val="004F7753"/>
    <w:rsid w:val="004F7F21"/>
    <w:rsid w:val="00500783"/>
    <w:rsid w:val="00502253"/>
    <w:rsid w:val="005038DA"/>
    <w:rsid w:val="0052218C"/>
    <w:rsid w:val="005237AE"/>
    <w:rsid w:val="00530F9F"/>
    <w:rsid w:val="00532DEC"/>
    <w:rsid w:val="005347E6"/>
    <w:rsid w:val="005355E0"/>
    <w:rsid w:val="00542A22"/>
    <w:rsid w:val="005508EC"/>
    <w:rsid w:val="00550D47"/>
    <w:rsid w:val="005516DB"/>
    <w:rsid w:val="00552EC8"/>
    <w:rsid w:val="0055674D"/>
    <w:rsid w:val="00557AC7"/>
    <w:rsid w:val="00560BE1"/>
    <w:rsid w:val="00561078"/>
    <w:rsid w:val="00561F85"/>
    <w:rsid w:val="00562772"/>
    <w:rsid w:val="00564234"/>
    <w:rsid w:val="005649B3"/>
    <w:rsid w:val="0056637F"/>
    <w:rsid w:val="00571FC2"/>
    <w:rsid w:val="005734BC"/>
    <w:rsid w:val="00576069"/>
    <w:rsid w:val="00587CBF"/>
    <w:rsid w:val="005939B2"/>
    <w:rsid w:val="005A0141"/>
    <w:rsid w:val="005A7B59"/>
    <w:rsid w:val="005B216A"/>
    <w:rsid w:val="005B4B3A"/>
    <w:rsid w:val="005B58A7"/>
    <w:rsid w:val="005B7597"/>
    <w:rsid w:val="005C686B"/>
    <w:rsid w:val="005C6B58"/>
    <w:rsid w:val="005C6EEA"/>
    <w:rsid w:val="005D003D"/>
    <w:rsid w:val="005E197D"/>
    <w:rsid w:val="005E5569"/>
    <w:rsid w:val="005E7BCB"/>
    <w:rsid w:val="00602419"/>
    <w:rsid w:val="006040E0"/>
    <w:rsid w:val="00604CC3"/>
    <w:rsid w:val="00605573"/>
    <w:rsid w:val="00607C4A"/>
    <w:rsid w:val="00612ED9"/>
    <w:rsid w:val="00625023"/>
    <w:rsid w:val="00625208"/>
    <w:rsid w:val="00632A14"/>
    <w:rsid w:val="0063421A"/>
    <w:rsid w:val="00637F81"/>
    <w:rsid w:val="006447C8"/>
    <w:rsid w:val="00653585"/>
    <w:rsid w:val="00661C15"/>
    <w:rsid w:val="00662469"/>
    <w:rsid w:val="00662CC3"/>
    <w:rsid w:val="006660AB"/>
    <w:rsid w:val="00666EA1"/>
    <w:rsid w:val="006749D1"/>
    <w:rsid w:val="006804B4"/>
    <w:rsid w:val="00683F4C"/>
    <w:rsid w:val="00684A40"/>
    <w:rsid w:val="00687312"/>
    <w:rsid w:val="00687695"/>
    <w:rsid w:val="00696619"/>
    <w:rsid w:val="00696F0C"/>
    <w:rsid w:val="006A3137"/>
    <w:rsid w:val="006A3783"/>
    <w:rsid w:val="006A53D6"/>
    <w:rsid w:val="006B0FE9"/>
    <w:rsid w:val="006B1416"/>
    <w:rsid w:val="006C1E84"/>
    <w:rsid w:val="006C20A7"/>
    <w:rsid w:val="006C38B0"/>
    <w:rsid w:val="006D1A36"/>
    <w:rsid w:val="006D2AEE"/>
    <w:rsid w:val="006D6F3D"/>
    <w:rsid w:val="006E2F17"/>
    <w:rsid w:val="006E3B4C"/>
    <w:rsid w:val="006E5566"/>
    <w:rsid w:val="006E5A0A"/>
    <w:rsid w:val="006E7CED"/>
    <w:rsid w:val="006F50AC"/>
    <w:rsid w:val="00703BAA"/>
    <w:rsid w:val="00705A56"/>
    <w:rsid w:val="0070723A"/>
    <w:rsid w:val="00707369"/>
    <w:rsid w:val="00715902"/>
    <w:rsid w:val="0071674C"/>
    <w:rsid w:val="007209B0"/>
    <w:rsid w:val="00730BC7"/>
    <w:rsid w:val="00732AEF"/>
    <w:rsid w:val="00737853"/>
    <w:rsid w:val="007452B6"/>
    <w:rsid w:val="0075185D"/>
    <w:rsid w:val="0075187D"/>
    <w:rsid w:val="0075356E"/>
    <w:rsid w:val="00756B5D"/>
    <w:rsid w:val="0076637F"/>
    <w:rsid w:val="00766B27"/>
    <w:rsid w:val="0076720C"/>
    <w:rsid w:val="00770C1B"/>
    <w:rsid w:val="00780AEB"/>
    <w:rsid w:val="00780F22"/>
    <w:rsid w:val="0078172C"/>
    <w:rsid w:val="007846F4"/>
    <w:rsid w:val="00785418"/>
    <w:rsid w:val="007A772F"/>
    <w:rsid w:val="007A7E72"/>
    <w:rsid w:val="007B2F30"/>
    <w:rsid w:val="007B3E4D"/>
    <w:rsid w:val="007C1161"/>
    <w:rsid w:val="007C3555"/>
    <w:rsid w:val="007C4A72"/>
    <w:rsid w:val="007D06AC"/>
    <w:rsid w:val="007E1B20"/>
    <w:rsid w:val="007F1D60"/>
    <w:rsid w:val="007F2A4D"/>
    <w:rsid w:val="007F2E5B"/>
    <w:rsid w:val="007F7AF7"/>
    <w:rsid w:val="00807049"/>
    <w:rsid w:val="00811326"/>
    <w:rsid w:val="00813C06"/>
    <w:rsid w:val="00832BE1"/>
    <w:rsid w:val="00835D29"/>
    <w:rsid w:val="00840B57"/>
    <w:rsid w:val="00841070"/>
    <w:rsid w:val="0084197E"/>
    <w:rsid w:val="008522C2"/>
    <w:rsid w:val="00853907"/>
    <w:rsid w:val="00854F35"/>
    <w:rsid w:val="008619F7"/>
    <w:rsid w:val="00864DEE"/>
    <w:rsid w:val="00865F65"/>
    <w:rsid w:val="00866ED3"/>
    <w:rsid w:val="00870252"/>
    <w:rsid w:val="008714A7"/>
    <w:rsid w:val="00871CAE"/>
    <w:rsid w:val="00881EEB"/>
    <w:rsid w:val="0088224B"/>
    <w:rsid w:val="00885223"/>
    <w:rsid w:val="0088742B"/>
    <w:rsid w:val="00887EAA"/>
    <w:rsid w:val="0089705F"/>
    <w:rsid w:val="008974CD"/>
    <w:rsid w:val="008B1345"/>
    <w:rsid w:val="008B1CAD"/>
    <w:rsid w:val="008B43D4"/>
    <w:rsid w:val="008B4CFB"/>
    <w:rsid w:val="008B7D21"/>
    <w:rsid w:val="008C26CC"/>
    <w:rsid w:val="008D3D70"/>
    <w:rsid w:val="008D7810"/>
    <w:rsid w:val="008E067B"/>
    <w:rsid w:val="008E0ECE"/>
    <w:rsid w:val="008E4EEB"/>
    <w:rsid w:val="008E59A7"/>
    <w:rsid w:val="008F063F"/>
    <w:rsid w:val="00904546"/>
    <w:rsid w:val="00906767"/>
    <w:rsid w:val="009113BD"/>
    <w:rsid w:val="00912EF8"/>
    <w:rsid w:val="009174F1"/>
    <w:rsid w:val="00922240"/>
    <w:rsid w:val="00924649"/>
    <w:rsid w:val="009259CA"/>
    <w:rsid w:val="00926DCD"/>
    <w:rsid w:val="00932D3E"/>
    <w:rsid w:val="00943A26"/>
    <w:rsid w:val="00944C84"/>
    <w:rsid w:val="00945820"/>
    <w:rsid w:val="00952028"/>
    <w:rsid w:val="0095297E"/>
    <w:rsid w:val="00953570"/>
    <w:rsid w:val="009551A9"/>
    <w:rsid w:val="00956E73"/>
    <w:rsid w:val="00957C7B"/>
    <w:rsid w:val="009626B1"/>
    <w:rsid w:val="00962DC7"/>
    <w:rsid w:val="00963112"/>
    <w:rsid w:val="009659D8"/>
    <w:rsid w:val="009900C7"/>
    <w:rsid w:val="009912C5"/>
    <w:rsid w:val="00992405"/>
    <w:rsid w:val="009926ED"/>
    <w:rsid w:val="00994662"/>
    <w:rsid w:val="00994907"/>
    <w:rsid w:val="00996310"/>
    <w:rsid w:val="009B19F1"/>
    <w:rsid w:val="009B3EF1"/>
    <w:rsid w:val="009C3C24"/>
    <w:rsid w:val="009C6DD1"/>
    <w:rsid w:val="009C7F3D"/>
    <w:rsid w:val="009D52B4"/>
    <w:rsid w:val="009D6382"/>
    <w:rsid w:val="009D761B"/>
    <w:rsid w:val="009E44BA"/>
    <w:rsid w:val="009E4AD9"/>
    <w:rsid w:val="009E4D5F"/>
    <w:rsid w:val="009E506A"/>
    <w:rsid w:val="009E707E"/>
    <w:rsid w:val="009E7474"/>
    <w:rsid w:val="009F1E23"/>
    <w:rsid w:val="009F1F4A"/>
    <w:rsid w:val="00A035AE"/>
    <w:rsid w:val="00A04D91"/>
    <w:rsid w:val="00A11000"/>
    <w:rsid w:val="00A1547A"/>
    <w:rsid w:val="00A16F17"/>
    <w:rsid w:val="00A2110E"/>
    <w:rsid w:val="00A218C1"/>
    <w:rsid w:val="00A21C09"/>
    <w:rsid w:val="00A24144"/>
    <w:rsid w:val="00A24E34"/>
    <w:rsid w:val="00A26AC4"/>
    <w:rsid w:val="00A26D85"/>
    <w:rsid w:val="00A26E1D"/>
    <w:rsid w:val="00A27064"/>
    <w:rsid w:val="00A35B56"/>
    <w:rsid w:val="00A37406"/>
    <w:rsid w:val="00A45B7F"/>
    <w:rsid w:val="00A46452"/>
    <w:rsid w:val="00A51D78"/>
    <w:rsid w:val="00A53E8A"/>
    <w:rsid w:val="00A601A2"/>
    <w:rsid w:val="00A60302"/>
    <w:rsid w:val="00A63D75"/>
    <w:rsid w:val="00A661E2"/>
    <w:rsid w:val="00A71889"/>
    <w:rsid w:val="00A765AC"/>
    <w:rsid w:val="00A77D6B"/>
    <w:rsid w:val="00A81646"/>
    <w:rsid w:val="00A84D97"/>
    <w:rsid w:val="00A85027"/>
    <w:rsid w:val="00A93291"/>
    <w:rsid w:val="00A933F5"/>
    <w:rsid w:val="00AA290B"/>
    <w:rsid w:val="00AA2E85"/>
    <w:rsid w:val="00AA3FAE"/>
    <w:rsid w:val="00AA539E"/>
    <w:rsid w:val="00AA70B5"/>
    <w:rsid w:val="00AA7EAE"/>
    <w:rsid w:val="00AB0A5A"/>
    <w:rsid w:val="00AC018E"/>
    <w:rsid w:val="00AC25E2"/>
    <w:rsid w:val="00AC3051"/>
    <w:rsid w:val="00AC44C3"/>
    <w:rsid w:val="00AC553A"/>
    <w:rsid w:val="00AC5A84"/>
    <w:rsid w:val="00AE371C"/>
    <w:rsid w:val="00AE4ACB"/>
    <w:rsid w:val="00AF05F2"/>
    <w:rsid w:val="00AF4491"/>
    <w:rsid w:val="00AF5140"/>
    <w:rsid w:val="00AF7716"/>
    <w:rsid w:val="00B0062A"/>
    <w:rsid w:val="00B05ADF"/>
    <w:rsid w:val="00B06DA9"/>
    <w:rsid w:val="00B173B2"/>
    <w:rsid w:val="00B204E7"/>
    <w:rsid w:val="00B2364A"/>
    <w:rsid w:val="00B25314"/>
    <w:rsid w:val="00B26539"/>
    <w:rsid w:val="00B328E2"/>
    <w:rsid w:val="00B33EE7"/>
    <w:rsid w:val="00B34B5A"/>
    <w:rsid w:val="00B40018"/>
    <w:rsid w:val="00B403D4"/>
    <w:rsid w:val="00B447E6"/>
    <w:rsid w:val="00B46699"/>
    <w:rsid w:val="00B54FE2"/>
    <w:rsid w:val="00B72A52"/>
    <w:rsid w:val="00B74D0D"/>
    <w:rsid w:val="00B83738"/>
    <w:rsid w:val="00B87F6F"/>
    <w:rsid w:val="00B93874"/>
    <w:rsid w:val="00B97129"/>
    <w:rsid w:val="00BA2D04"/>
    <w:rsid w:val="00BA5E1C"/>
    <w:rsid w:val="00BA5EDA"/>
    <w:rsid w:val="00BA684C"/>
    <w:rsid w:val="00BB35E5"/>
    <w:rsid w:val="00BB439F"/>
    <w:rsid w:val="00BB4827"/>
    <w:rsid w:val="00BC28F3"/>
    <w:rsid w:val="00BC78CF"/>
    <w:rsid w:val="00BD17DA"/>
    <w:rsid w:val="00BD48C4"/>
    <w:rsid w:val="00BD4F43"/>
    <w:rsid w:val="00BD6541"/>
    <w:rsid w:val="00BD7198"/>
    <w:rsid w:val="00BD738F"/>
    <w:rsid w:val="00BE0BE9"/>
    <w:rsid w:val="00BE22B6"/>
    <w:rsid w:val="00BF29CB"/>
    <w:rsid w:val="00BF33F7"/>
    <w:rsid w:val="00BF3EB7"/>
    <w:rsid w:val="00BF6DFF"/>
    <w:rsid w:val="00C00903"/>
    <w:rsid w:val="00C01F59"/>
    <w:rsid w:val="00C05BB5"/>
    <w:rsid w:val="00C11C51"/>
    <w:rsid w:val="00C11F54"/>
    <w:rsid w:val="00C14D58"/>
    <w:rsid w:val="00C15F89"/>
    <w:rsid w:val="00C22AF4"/>
    <w:rsid w:val="00C245B8"/>
    <w:rsid w:val="00C25734"/>
    <w:rsid w:val="00C27EF7"/>
    <w:rsid w:val="00C31487"/>
    <w:rsid w:val="00C330D5"/>
    <w:rsid w:val="00C33EEF"/>
    <w:rsid w:val="00C34B6D"/>
    <w:rsid w:val="00C447AC"/>
    <w:rsid w:val="00C45DB2"/>
    <w:rsid w:val="00C53D68"/>
    <w:rsid w:val="00C607C0"/>
    <w:rsid w:val="00C7223F"/>
    <w:rsid w:val="00C72915"/>
    <w:rsid w:val="00C85269"/>
    <w:rsid w:val="00C92F7E"/>
    <w:rsid w:val="00C9727F"/>
    <w:rsid w:val="00C975EA"/>
    <w:rsid w:val="00CA267C"/>
    <w:rsid w:val="00CA2C1E"/>
    <w:rsid w:val="00CA2F8B"/>
    <w:rsid w:val="00CB162A"/>
    <w:rsid w:val="00CB3C92"/>
    <w:rsid w:val="00CB6749"/>
    <w:rsid w:val="00CC31C4"/>
    <w:rsid w:val="00CC614A"/>
    <w:rsid w:val="00CD1838"/>
    <w:rsid w:val="00CD3CA4"/>
    <w:rsid w:val="00CD5BFB"/>
    <w:rsid w:val="00CD79A8"/>
    <w:rsid w:val="00CE123B"/>
    <w:rsid w:val="00CE3103"/>
    <w:rsid w:val="00CE5C9C"/>
    <w:rsid w:val="00CF01E9"/>
    <w:rsid w:val="00CF1634"/>
    <w:rsid w:val="00CF481F"/>
    <w:rsid w:val="00CF4D2F"/>
    <w:rsid w:val="00CF620B"/>
    <w:rsid w:val="00D04CF3"/>
    <w:rsid w:val="00D06F0F"/>
    <w:rsid w:val="00D104F6"/>
    <w:rsid w:val="00D10A73"/>
    <w:rsid w:val="00D16A9A"/>
    <w:rsid w:val="00D17D74"/>
    <w:rsid w:val="00D224C9"/>
    <w:rsid w:val="00D27582"/>
    <w:rsid w:val="00D355CC"/>
    <w:rsid w:val="00D418AD"/>
    <w:rsid w:val="00D51E3A"/>
    <w:rsid w:val="00D523ED"/>
    <w:rsid w:val="00D54D42"/>
    <w:rsid w:val="00D57255"/>
    <w:rsid w:val="00D62523"/>
    <w:rsid w:val="00D65253"/>
    <w:rsid w:val="00D67F2F"/>
    <w:rsid w:val="00D72997"/>
    <w:rsid w:val="00D7562B"/>
    <w:rsid w:val="00D76857"/>
    <w:rsid w:val="00D76F6E"/>
    <w:rsid w:val="00D77785"/>
    <w:rsid w:val="00D8082F"/>
    <w:rsid w:val="00D83A9F"/>
    <w:rsid w:val="00D84224"/>
    <w:rsid w:val="00D918B8"/>
    <w:rsid w:val="00D956D6"/>
    <w:rsid w:val="00DA1F42"/>
    <w:rsid w:val="00DA3F49"/>
    <w:rsid w:val="00DA4B7A"/>
    <w:rsid w:val="00DC21C1"/>
    <w:rsid w:val="00DC331A"/>
    <w:rsid w:val="00DD042C"/>
    <w:rsid w:val="00DD07BD"/>
    <w:rsid w:val="00DD0FB8"/>
    <w:rsid w:val="00DD60E2"/>
    <w:rsid w:val="00DE36BD"/>
    <w:rsid w:val="00DE67F4"/>
    <w:rsid w:val="00DF01D0"/>
    <w:rsid w:val="00DF28E0"/>
    <w:rsid w:val="00DF5B75"/>
    <w:rsid w:val="00DF66F0"/>
    <w:rsid w:val="00E00579"/>
    <w:rsid w:val="00E03558"/>
    <w:rsid w:val="00E037D5"/>
    <w:rsid w:val="00E04A87"/>
    <w:rsid w:val="00E07600"/>
    <w:rsid w:val="00E11B68"/>
    <w:rsid w:val="00E122FB"/>
    <w:rsid w:val="00E15A94"/>
    <w:rsid w:val="00E27BBF"/>
    <w:rsid w:val="00E33406"/>
    <w:rsid w:val="00E3698A"/>
    <w:rsid w:val="00E4002F"/>
    <w:rsid w:val="00E42658"/>
    <w:rsid w:val="00E46C2A"/>
    <w:rsid w:val="00E500C5"/>
    <w:rsid w:val="00E51E85"/>
    <w:rsid w:val="00E52A20"/>
    <w:rsid w:val="00E54DFE"/>
    <w:rsid w:val="00E55D1E"/>
    <w:rsid w:val="00E5668E"/>
    <w:rsid w:val="00E57029"/>
    <w:rsid w:val="00E609B5"/>
    <w:rsid w:val="00E61DE0"/>
    <w:rsid w:val="00E63122"/>
    <w:rsid w:val="00E63F06"/>
    <w:rsid w:val="00E64886"/>
    <w:rsid w:val="00E6798F"/>
    <w:rsid w:val="00E67E0B"/>
    <w:rsid w:val="00E7751B"/>
    <w:rsid w:val="00E808A2"/>
    <w:rsid w:val="00E809E7"/>
    <w:rsid w:val="00E90079"/>
    <w:rsid w:val="00E92EB2"/>
    <w:rsid w:val="00EA73E5"/>
    <w:rsid w:val="00EB3664"/>
    <w:rsid w:val="00EB3AF7"/>
    <w:rsid w:val="00EC1BD3"/>
    <w:rsid w:val="00ED74D3"/>
    <w:rsid w:val="00EE2B0A"/>
    <w:rsid w:val="00EE3198"/>
    <w:rsid w:val="00EE31DA"/>
    <w:rsid w:val="00EE4080"/>
    <w:rsid w:val="00EE7EFE"/>
    <w:rsid w:val="00EF57C9"/>
    <w:rsid w:val="00F0297E"/>
    <w:rsid w:val="00F03265"/>
    <w:rsid w:val="00F077A3"/>
    <w:rsid w:val="00F07B1B"/>
    <w:rsid w:val="00F10471"/>
    <w:rsid w:val="00F112F6"/>
    <w:rsid w:val="00F158EE"/>
    <w:rsid w:val="00F15EF8"/>
    <w:rsid w:val="00F25C1E"/>
    <w:rsid w:val="00F32774"/>
    <w:rsid w:val="00F42B15"/>
    <w:rsid w:val="00F448E2"/>
    <w:rsid w:val="00F5031F"/>
    <w:rsid w:val="00F52357"/>
    <w:rsid w:val="00F529D7"/>
    <w:rsid w:val="00F5322B"/>
    <w:rsid w:val="00F56AEB"/>
    <w:rsid w:val="00F6131B"/>
    <w:rsid w:val="00F61D17"/>
    <w:rsid w:val="00F67B2B"/>
    <w:rsid w:val="00F7451E"/>
    <w:rsid w:val="00F77D76"/>
    <w:rsid w:val="00F80B45"/>
    <w:rsid w:val="00F862F2"/>
    <w:rsid w:val="00F9005F"/>
    <w:rsid w:val="00F910F0"/>
    <w:rsid w:val="00F954B8"/>
    <w:rsid w:val="00FA00C8"/>
    <w:rsid w:val="00FA440F"/>
    <w:rsid w:val="00FB04E0"/>
    <w:rsid w:val="00FB795E"/>
    <w:rsid w:val="00FC144A"/>
    <w:rsid w:val="00FC5406"/>
    <w:rsid w:val="00FD075D"/>
    <w:rsid w:val="00FD222B"/>
    <w:rsid w:val="00FD44EF"/>
    <w:rsid w:val="00FD491E"/>
    <w:rsid w:val="00FE6719"/>
    <w:rsid w:val="00FF2385"/>
    <w:rsid w:val="00FF6205"/>
    <w:rsid w:val="00FF69EA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2"/>
    <w:link w:val="B1Zchn"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2">
    <w:name w:val="List"/>
    <w:basedOn w:val="a"/>
    <w:uiPriority w:val="99"/>
    <w:semiHidden/>
    <w:unhideWhenUsed/>
    <w:rsid w:val="00E33406"/>
    <w:pPr>
      <w:ind w:left="200" w:hangingChars="200" w:hanging="200"/>
      <w:contextualSpacing/>
    </w:pPr>
  </w:style>
  <w:style w:type="character" w:customStyle="1" w:styleId="40">
    <w:name w:val="标题 4 字符"/>
    <w:aliases w:val="h4 字符"/>
    <w:basedOn w:val="a0"/>
    <w:link w:val="4"/>
    <w:semiHidden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rsid w:val="00CD1838"/>
    <w:pPr>
      <w:keepLines/>
      <w:widowControl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lang w:val="en-GB"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3">
    <w:name w:val="Normal (Web)"/>
    <w:basedOn w:val="a"/>
    <w:uiPriority w:val="99"/>
    <w:unhideWhenUsed/>
    <w:rsid w:val="00E11B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4226</TotalTime>
  <Pages>2</Pages>
  <Words>915</Words>
  <Characters>5218</Characters>
  <Application>Microsoft Office Word</Application>
  <DocSecurity>0</DocSecurity>
  <Lines>43</Lines>
  <Paragraphs>12</Paragraphs>
  <ScaleCrop>false</ScaleCrop>
  <Company/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540</cp:revision>
  <dcterms:created xsi:type="dcterms:W3CDTF">2021-01-15T00:45:00Z</dcterms:created>
  <dcterms:modified xsi:type="dcterms:W3CDTF">2022-11-04T01:34:00Z</dcterms:modified>
</cp:coreProperties>
</file>